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54F" w:rsidRPr="0096754F" w:rsidRDefault="0096754F" w:rsidP="0096754F">
      <w:pPr>
        <w:autoSpaceDE w:val="0"/>
        <w:autoSpaceDN w:val="0"/>
        <w:adjustRightInd w:val="0"/>
        <w:spacing w:after="0" w:line="240" w:lineRule="auto"/>
        <w:jc w:val="both"/>
        <w:rPr>
          <w:rFonts w:ascii="Times-Roman" w:hAnsi="Times-Roman" w:cs="Times-Roman"/>
          <w:b/>
          <w:color w:val="C9259A"/>
          <w:sz w:val="40"/>
          <w:szCs w:val="40"/>
        </w:rPr>
      </w:pPr>
      <w:r w:rsidRPr="0096754F">
        <w:rPr>
          <w:rFonts w:ascii="Times-Roman" w:hAnsi="Times-Roman" w:cs="Times-Roman"/>
          <w:b/>
          <w:color w:val="C9259A"/>
          <w:sz w:val="40"/>
          <w:szCs w:val="40"/>
        </w:rPr>
        <w:t>T-</w:t>
      </w:r>
      <w:r w:rsidRPr="0096754F">
        <w:rPr>
          <w:rFonts w:ascii="Times-Italic" w:hAnsi="Times-Italic" w:cs="Times-Italic"/>
          <w:b/>
          <w:i/>
          <w:iCs/>
          <w:color w:val="C9259A"/>
          <w:sz w:val="40"/>
          <w:szCs w:val="40"/>
        </w:rPr>
        <w:t>Broker</w:t>
      </w:r>
      <w:r w:rsidRPr="0096754F">
        <w:rPr>
          <w:rFonts w:ascii="Times-Roman" w:hAnsi="Times-Roman" w:cs="Times-Roman"/>
          <w:b/>
          <w:color w:val="C9259A"/>
          <w:sz w:val="40"/>
          <w:szCs w:val="40"/>
        </w:rPr>
        <w:t>: A Trust-Aware Service Brokering Scheme</w:t>
      </w:r>
    </w:p>
    <w:p w:rsidR="00ED6F9A" w:rsidRPr="0096754F" w:rsidRDefault="0096754F" w:rsidP="0096754F">
      <w:pPr>
        <w:jc w:val="both"/>
        <w:rPr>
          <w:b/>
          <w:color w:val="C9259A"/>
          <w:sz w:val="40"/>
          <w:szCs w:val="40"/>
        </w:rPr>
      </w:pPr>
      <w:r w:rsidRPr="0096754F">
        <w:rPr>
          <w:rFonts w:ascii="Times-Roman" w:hAnsi="Times-Roman" w:cs="Times-Roman"/>
          <w:b/>
          <w:color w:val="C9259A"/>
          <w:sz w:val="40"/>
          <w:szCs w:val="40"/>
        </w:rPr>
        <w:t xml:space="preserve">        </w:t>
      </w:r>
      <w:r>
        <w:rPr>
          <w:rFonts w:ascii="Times-Roman" w:hAnsi="Times-Roman" w:cs="Times-Roman"/>
          <w:b/>
          <w:color w:val="C9259A"/>
          <w:sz w:val="40"/>
          <w:szCs w:val="40"/>
        </w:rPr>
        <w:t xml:space="preserve"> For</w:t>
      </w:r>
      <w:r w:rsidRPr="0096754F">
        <w:rPr>
          <w:rFonts w:ascii="Times-Roman" w:hAnsi="Times-Roman" w:cs="Times-Roman"/>
          <w:b/>
          <w:color w:val="C9259A"/>
          <w:sz w:val="40"/>
          <w:szCs w:val="40"/>
        </w:rPr>
        <w:t xml:space="preserve"> Multiple Cloud Collaborative Services</w:t>
      </w:r>
    </w:p>
    <w:p w:rsidR="008E6786" w:rsidRDefault="008E6786" w:rsidP="00ED6F9A">
      <w:pPr>
        <w:jc w:val="both"/>
        <w:rPr>
          <w:rFonts w:ascii="Times New Roman" w:hAnsi="Times New Roman" w:cs="Times New Roman"/>
          <w:b/>
          <w:color w:val="7030A0"/>
          <w:sz w:val="26"/>
          <w:szCs w:val="26"/>
        </w:rPr>
      </w:pPr>
      <w:r w:rsidRPr="008E6786">
        <w:rPr>
          <w:rFonts w:ascii="Times New Roman" w:hAnsi="Times New Roman" w:cs="Times New Roman"/>
          <w:b/>
          <w:color w:val="7030A0"/>
          <w:sz w:val="26"/>
          <w:szCs w:val="26"/>
        </w:rPr>
        <w:t>Abstract:</w:t>
      </w:r>
    </w:p>
    <w:p w:rsidR="00B1010A" w:rsidRDefault="00B1010A" w:rsidP="00ED6F9A">
      <w:pPr>
        <w:jc w:val="both"/>
        <w:rPr>
          <w:rFonts w:ascii="Times New Roman" w:hAnsi="Times New Roman" w:cs="Times New Roman"/>
          <w:color w:val="0D0D0D" w:themeColor="text1" w:themeTint="F2"/>
          <w:sz w:val="26"/>
          <w:szCs w:val="26"/>
        </w:rPr>
      </w:pPr>
      <w:r w:rsidRPr="00B1010A">
        <w:rPr>
          <w:rFonts w:ascii="Times New Roman" w:hAnsi="Times New Roman" w:cs="Times New Roman"/>
          <w:color w:val="0D0D0D" w:themeColor="text1" w:themeTint="F2"/>
          <w:sz w:val="26"/>
          <w:szCs w:val="26"/>
        </w:rPr>
        <w:t>Cloud storage means "the storage of data online in the cloud," wherein a company's data is stored in and accessible from multiple distributed and connected resources that comprise a cloud. Cloud storage can provide the benefits of greater accessibility and reliability; rapid deployment; strong protection for data backup, archival and disaster recovery purposes; and lower overall storage costs as a result of not having to purchase, manage and maintain expensive hardware. However, cloud storage does have the potential for security and compliance concerns.</w:t>
      </w:r>
    </w:p>
    <w:p w:rsidR="00AD1E09" w:rsidRDefault="00B1010A" w:rsidP="00ED6F9A">
      <w:pPr>
        <w:jc w:val="both"/>
        <w:rPr>
          <w:rFonts w:ascii="Times New Roman" w:hAnsi="Times New Roman" w:cs="Times New Roman"/>
          <w:color w:val="0D0D0D" w:themeColor="text1" w:themeTint="F2"/>
          <w:sz w:val="26"/>
          <w:szCs w:val="26"/>
        </w:rPr>
      </w:pPr>
      <w:r w:rsidRPr="00B1010A">
        <w:rPr>
          <w:rFonts w:ascii="Times New Roman" w:hAnsi="Times New Roman" w:cs="Times New Roman"/>
          <w:color w:val="0D0D0D" w:themeColor="text1" w:themeTint="F2"/>
          <w:sz w:val="26"/>
          <w:szCs w:val="26"/>
        </w:rPr>
        <w:t>Multicloud is the use of multiple cloud computing services in a single heterogeneous architecture.</w:t>
      </w:r>
      <w:r w:rsidR="00AD1E09" w:rsidRPr="00AD1E09">
        <w:t xml:space="preserve"> </w:t>
      </w:r>
      <w:r w:rsidR="00AD1E09" w:rsidRPr="00AD1E09">
        <w:rPr>
          <w:rFonts w:ascii="Times New Roman" w:hAnsi="Times New Roman" w:cs="Times New Roman"/>
          <w:color w:val="0D0D0D" w:themeColor="text1" w:themeTint="F2"/>
          <w:sz w:val="26"/>
          <w:szCs w:val="26"/>
        </w:rPr>
        <w:t>Multi-cloud strategy is the concomitant use of two or more cloud services to minimize the risk of widespread data loss or downtime due to a localized component failure in a cloud computing environment. Such a failure can occur in hardware, software, or infrastructure. A multi-cloud strategy can also improve overall enterprise performance by avoiding "vendor lock-in" and using different infrastructures to meet the needs of diverse partners and customers.</w:t>
      </w:r>
    </w:p>
    <w:p w:rsidR="00966F2C" w:rsidRDefault="00ED6F9A" w:rsidP="00ED6F9A">
      <w:pPr>
        <w:jc w:val="both"/>
        <w:rPr>
          <w:rFonts w:ascii="Times New Roman" w:hAnsi="Times New Roman" w:cs="Times New Roman"/>
          <w:sz w:val="26"/>
          <w:szCs w:val="26"/>
        </w:rPr>
      </w:pPr>
      <w:r w:rsidRPr="00ED6F9A">
        <w:rPr>
          <w:rFonts w:ascii="Times New Roman" w:hAnsi="Times New Roman" w:cs="Times New Roman"/>
          <w:sz w:val="26"/>
          <w:szCs w:val="26"/>
        </w:rPr>
        <w:t>Oriented by requirement of trust management in multiple cloud environment, this paper presents T-broker, a trustaware service brokering scheme for efficient matching cloud services (or resources) to satisfy various user requests. First, a trusted third party-based service brokering architecture is proposed for multiple cloud environment, in which the T-broker acts as a middleware for cloud trust management and service matching. Then, T-broker uses a hybrid and adaptive trust model to compute the overall trust degree of service resources, in which trust is defined as a fusion evaluation result from adaptively combining the direct monitored evidence with the social feedback of the service resources. More importantly, T-broker uses the maximizing deviation method to compute the direct experience based on multiple key trusted attributes of service resources, which can overcome the limitations of traditional trust schemes, in which the trusted attributes are weighted manually or subjectively. Finally, T-broker uses a lightweight feedback mechanism, which can effectively reduce networking risk and improve system efficiency. The experimental results show that, compared with the existing approaches, our T-broker yields very good results in many typical cases, and the proposed system is robust to deal with various numbers of dynamic service behavior from multiple cloud sites.</w:t>
      </w:r>
    </w:p>
    <w:p w:rsidR="008E6786" w:rsidRDefault="008E6786" w:rsidP="00ED6F9A">
      <w:pPr>
        <w:jc w:val="both"/>
        <w:rPr>
          <w:rFonts w:ascii="Times New Roman" w:hAnsi="Times New Roman" w:cs="Times New Roman"/>
          <w:sz w:val="26"/>
          <w:szCs w:val="26"/>
        </w:rPr>
      </w:pPr>
    </w:p>
    <w:p w:rsidR="008E6786" w:rsidRDefault="008E6786" w:rsidP="00ED6F9A">
      <w:pPr>
        <w:jc w:val="both"/>
        <w:rPr>
          <w:rFonts w:ascii="Times New Roman" w:hAnsi="Times New Roman" w:cs="Times New Roman"/>
          <w:b/>
          <w:color w:val="7030A0"/>
          <w:sz w:val="26"/>
          <w:szCs w:val="26"/>
        </w:rPr>
      </w:pPr>
      <w:r w:rsidRPr="008E6786">
        <w:rPr>
          <w:rFonts w:ascii="Times New Roman" w:hAnsi="Times New Roman" w:cs="Times New Roman"/>
          <w:b/>
          <w:color w:val="7030A0"/>
          <w:sz w:val="26"/>
          <w:szCs w:val="26"/>
        </w:rPr>
        <w:lastRenderedPageBreak/>
        <w:t>Existing System:</w:t>
      </w:r>
    </w:p>
    <w:p w:rsidR="008F1AB0" w:rsidRPr="00AE70E0" w:rsidRDefault="00AD1E09" w:rsidP="00AD1E09">
      <w:pPr>
        <w:pStyle w:val="ListParagraph"/>
        <w:numPr>
          <w:ilvl w:val="0"/>
          <w:numId w:val="2"/>
        </w:numPr>
        <w:jc w:val="both"/>
        <w:rPr>
          <w:rFonts w:ascii="Times New Roman" w:hAnsi="Times New Roman" w:cs="Times New Roman"/>
          <w:b/>
          <w:color w:val="7030A0"/>
          <w:sz w:val="26"/>
          <w:szCs w:val="26"/>
        </w:rPr>
      </w:pPr>
      <w:r>
        <w:rPr>
          <w:rFonts w:ascii="Times New Roman" w:hAnsi="Times New Roman" w:cs="Times New Roman"/>
          <w:color w:val="0D0D0D" w:themeColor="text1" w:themeTint="F2"/>
          <w:sz w:val="26"/>
          <w:szCs w:val="26"/>
        </w:rPr>
        <w:t xml:space="preserve">The </w:t>
      </w:r>
      <w:r w:rsidR="00726368" w:rsidRPr="00AD1E09">
        <w:rPr>
          <w:rFonts w:ascii="Times New Roman" w:hAnsi="Times New Roman" w:cs="Times New Roman"/>
          <w:color w:val="0D0D0D" w:themeColor="text1" w:themeTint="F2"/>
          <w:sz w:val="26"/>
          <w:szCs w:val="26"/>
        </w:rPr>
        <w:t>existing brokering architecture for cloud computing do not consider user feedback only relying on some direct monitoring information.</w:t>
      </w:r>
    </w:p>
    <w:p w:rsidR="00AE70E0" w:rsidRPr="00AE70E0" w:rsidRDefault="00AE70E0" w:rsidP="00AD1E09">
      <w:pPr>
        <w:pStyle w:val="ListParagraph"/>
        <w:numPr>
          <w:ilvl w:val="0"/>
          <w:numId w:val="2"/>
        </w:numPr>
        <w:jc w:val="both"/>
        <w:rPr>
          <w:rFonts w:ascii="Times New Roman" w:hAnsi="Times New Roman" w:cs="Times New Roman"/>
          <w:color w:val="0D0D0D" w:themeColor="text1" w:themeTint="F2"/>
          <w:sz w:val="26"/>
          <w:szCs w:val="26"/>
        </w:rPr>
      </w:pPr>
      <w:r w:rsidRPr="00AE70E0">
        <w:rPr>
          <w:rFonts w:ascii="Times New Roman" w:hAnsi="Times New Roman" w:cs="Times New Roman"/>
          <w:color w:val="0D0D0D" w:themeColor="text1" w:themeTint="F2"/>
          <w:sz w:val="26"/>
          <w:szCs w:val="26"/>
        </w:rPr>
        <w:t>There is no doubt that the efficiency of a trust system is an important requirement for multiple cloud environment. That is, the trust brokering system should be fast convergence and light-weight to serve for a large number of users and providers. However, existing studies paid little attention to this question, which greatly affects scalability and availability of the trust system</w:t>
      </w:r>
    </w:p>
    <w:p w:rsidR="008F1AB0" w:rsidRDefault="008F1AB0" w:rsidP="00ED6F9A">
      <w:pPr>
        <w:jc w:val="both"/>
        <w:rPr>
          <w:rFonts w:ascii="Times New Roman" w:hAnsi="Times New Roman" w:cs="Times New Roman"/>
          <w:b/>
          <w:color w:val="7030A0"/>
          <w:sz w:val="26"/>
          <w:szCs w:val="26"/>
        </w:rPr>
      </w:pPr>
    </w:p>
    <w:p w:rsidR="008F1AB0" w:rsidRDefault="008F1AB0" w:rsidP="00ED6F9A">
      <w:pPr>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Proposed System: </w:t>
      </w:r>
    </w:p>
    <w:p w:rsidR="00346A71" w:rsidRPr="00346A71" w:rsidRDefault="008F1AB0" w:rsidP="008F1AB0">
      <w:pPr>
        <w:pStyle w:val="ListParagraph"/>
        <w:numPr>
          <w:ilvl w:val="0"/>
          <w:numId w:val="1"/>
        </w:numPr>
        <w:jc w:val="both"/>
        <w:rPr>
          <w:rFonts w:ascii="Times New Roman" w:hAnsi="Times New Roman" w:cs="Times New Roman"/>
          <w:b/>
          <w:color w:val="7030A0"/>
          <w:sz w:val="26"/>
          <w:szCs w:val="26"/>
        </w:rPr>
      </w:pPr>
      <w:r>
        <w:rPr>
          <w:rFonts w:ascii="Times New Roman" w:hAnsi="Times New Roman" w:cs="Times New Roman"/>
          <w:color w:val="0D0D0D" w:themeColor="text1" w:themeTint="F2"/>
          <w:sz w:val="26"/>
          <w:szCs w:val="26"/>
        </w:rPr>
        <w:t>T</w:t>
      </w:r>
      <w:r w:rsidRPr="008F1AB0">
        <w:rPr>
          <w:rFonts w:ascii="Times New Roman" w:hAnsi="Times New Roman" w:cs="Times New Roman"/>
          <w:color w:val="0D0D0D" w:themeColor="text1" w:themeTint="F2"/>
          <w:sz w:val="26"/>
          <w:szCs w:val="26"/>
        </w:rPr>
        <w:t>he proposed system is robust to deal with various numbers of dynamic service behavior from multiple cloud sites.</w:t>
      </w:r>
      <w:r w:rsidR="00346A71" w:rsidRPr="00346A71">
        <w:t xml:space="preserve"> </w:t>
      </w:r>
    </w:p>
    <w:p w:rsidR="008F1AB0" w:rsidRPr="000E2C5B" w:rsidRDefault="00346A71" w:rsidP="008F1AB0">
      <w:pPr>
        <w:pStyle w:val="ListParagraph"/>
        <w:numPr>
          <w:ilvl w:val="0"/>
          <w:numId w:val="1"/>
        </w:numPr>
        <w:jc w:val="both"/>
        <w:rPr>
          <w:rFonts w:ascii="Times New Roman" w:hAnsi="Times New Roman" w:cs="Times New Roman"/>
          <w:b/>
          <w:color w:val="7030A0"/>
          <w:sz w:val="26"/>
          <w:szCs w:val="26"/>
        </w:rPr>
      </w:pPr>
      <w:r>
        <w:rPr>
          <w:rFonts w:ascii="Times New Roman" w:hAnsi="Times New Roman" w:cs="Times New Roman"/>
          <w:color w:val="0D0D0D" w:themeColor="text1" w:themeTint="F2"/>
          <w:sz w:val="26"/>
          <w:szCs w:val="26"/>
        </w:rPr>
        <w:t>S</w:t>
      </w:r>
      <w:r w:rsidRPr="00346A71">
        <w:rPr>
          <w:rFonts w:ascii="Times New Roman" w:hAnsi="Times New Roman" w:cs="Times New Roman"/>
          <w:color w:val="0D0D0D" w:themeColor="text1" w:themeTint="F2"/>
          <w:sz w:val="26"/>
          <w:szCs w:val="26"/>
        </w:rPr>
        <w:t>ome hybrid trust models are proposed f</w:t>
      </w:r>
      <w:r>
        <w:rPr>
          <w:rFonts w:ascii="Times New Roman" w:hAnsi="Times New Roman" w:cs="Times New Roman"/>
          <w:color w:val="0D0D0D" w:themeColor="text1" w:themeTint="F2"/>
          <w:sz w:val="26"/>
          <w:szCs w:val="26"/>
        </w:rPr>
        <w:t xml:space="preserve">or cloud computing environment </w:t>
      </w:r>
      <w:r w:rsidRPr="00346A71">
        <w:rPr>
          <w:rFonts w:ascii="Times New Roman" w:hAnsi="Times New Roman" w:cs="Times New Roman"/>
          <w:color w:val="0D0D0D" w:themeColor="text1" w:themeTint="F2"/>
          <w:sz w:val="26"/>
          <w:szCs w:val="26"/>
        </w:rPr>
        <w:t>It is no doubt that how to adaptively fuse direct trust (first-hand trust) and indirect trust (users’ feedback) should be an important problem, however, most current studies in hybrid trust models either ignore the problem or using subjective or manual methods to assign weight to this two trust factors (first-hand trust and users’ feedback)</w:t>
      </w:r>
      <w:r>
        <w:rPr>
          <w:rFonts w:ascii="Times New Roman" w:hAnsi="Times New Roman" w:cs="Times New Roman"/>
          <w:color w:val="0D0D0D" w:themeColor="text1" w:themeTint="F2"/>
          <w:sz w:val="26"/>
          <w:szCs w:val="26"/>
        </w:rPr>
        <w:t>.</w:t>
      </w:r>
    </w:p>
    <w:p w:rsidR="000E2C5B" w:rsidRPr="00B4628A" w:rsidRDefault="000E2C5B" w:rsidP="00346A71">
      <w:pPr>
        <w:pStyle w:val="ListParagraph"/>
        <w:numPr>
          <w:ilvl w:val="0"/>
          <w:numId w:val="1"/>
        </w:numPr>
        <w:jc w:val="both"/>
        <w:rPr>
          <w:rFonts w:ascii="Times New Roman" w:hAnsi="Times New Roman" w:cs="Times New Roman"/>
          <w:b/>
          <w:color w:val="7030A0"/>
          <w:sz w:val="26"/>
          <w:szCs w:val="26"/>
        </w:rPr>
      </w:pPr>
      <w:r w:rsidRPr="00B4628A">
        <w:rPr>
          <w:rFonts w:ascii="Times New Roman" w:hAnsi="Times New Roman" w:cs="Times New Roman"/>
          <w:color w:val="0D0D0D" w:themeColor="text1" w:themeTint="F2"/>
          <w:sz w:val="26"/>
          <w:szCs w:val="26"/>
        </w:rPr>
        <w:t xml:space="preserve">The proposed trust management framework for a multi-cloud environment is based on the proposed trust evaluation model and the trust propagation network. </w:t>
      </w:r>
    </w:p>
    <w:p w:rsidR="00B4628A" w:rsidRDefault="00B4628A" w:rsidP="00346A71">
      <w:pPr>
        <w:pStyle w:val="ListParagraph"/>
        <w:numPr>
          <w:ilvl w:val="0"/>
          <w:numId w:val="1"/>
        </w:numPr>
        <w:jc w:val="both"/>
        <w:rPr>
          <w:rFonts w:ascii="Times New Roman" w:hAnsi="Times New Roman" w:cs="Times New Roman"/>
          <w:color w:val="0D0D0D" w:themeColor="text1" w:themeTint="F2"/>
          <w:sz w:val="26"/>
          <w:szCs w:val="26"/>
        </w:rPr>
      </w:pPr>
      <w:r w:rsidRPr="00B4628A">
        <w:rPr>
          <w:rFonts w:ascii="Times New Roman" w:hAnsi="Times New Roman" w:cs="Times New Roman"/>
          <w:color w:val="0D0D0D" w:themeColor="text1" w:themeTint="F2"/>
          <w:sz w:val="26"/>
          <w:szCs w:val="26"/>
        </w:rPr>
        <w:t>First, a trusted third party-based service brokering architecture is proposed for multiple cloud environment, in which the T-broker acts as a middleware for cloud trust management and service matching.</w:t>
      </w:r>
    </w:p>
    <w:p w:rsidR="00AE70E0" w:rsidRDefault="00B4628A" w:rsidP="00346A71">
      <w:pPr>
        <w:pStyle w:val="ListParagraph"/>
        <w:numPr>
          <w:ilvl w:val="0"/>
          <w:numId w:val="1"/>
        </w:numPr>
        <w:jc w:val="both"/>
        <w:rPr>
          <w:rFonts w:ascii="Times New Roman" w:hAnsi="Times New Roman" w:cs="Times New Roman"/>
          <w:color w:val="0D0D0D" w:themeColor="text1" w:themeTint="F2"/>
          <w:sz w:val="26"/>
          <w:szCs w:val="26"/>
        </w:rPr>
      </w:pPr>
      <w:r w:rsidRPr="00B4628A">
        <w:rPr>
          <w:rFonts w:ascii="Times New Roman" w:hAnsi="Times New Roman" w:cs="Times New Roman"/>
          <w:color w:val="0D0D0D" w:themeColor="text1" w:themeTint="F2"/>
          <w:sz w:val="26"/>
          <w:szCs w:val="26"/>
        </w:rPr>
        <w:t xml:space="preserve"> T-broker uses a hybrid and adaptive trust model to compute the overall trust degree of service resources, in which trust is defined as a fusion evaluation result from adaptively combining the direct monitored evidence with the social feedback of the service resources.</w:t>
      </w:r>
    </w:p>
    <w:p w:rsidR="00AE70E0" w:rsidRDefault="00AE70E0" w:rsidP="00AE70E0">
      <w:pPr>
        <w:ind w:left="360"/>
        <w:jc w:val="both"/>
        <w:rPr>
          <w:rFonts w:ascii="Times New Roman" w:hAnsi="Times New Roman" w:cs="Times New Roman"/>
          <w:color w:val="7030A0"/>
          <w:sz w:val="26"/>
          <w:szCs w:val="26"/>
        </w:rPr>
      </w:pPr>
      <w:r w:rsidRPr="00AE70E0">
        <w:rPr>
          <w:rFonts w:ascii="Times New Roman" w:hAnsi="Times New Roman" w:cs="Times New Roman"/>
          <w:b/>
          <w:color w:val="7030A0"/>
          <w:sz w:val="26"/>
          <w:szCs w:val="26"/>
        </w:rPr>
        <w:t>Future Enhancement</w:t>
      </w:r>
      <w:r w:rsidRPr="00AE70E0">
        <w:rPr>
          <w:rFonts w:ascii="Times New Roman" w:hAnsi="Times New Roman" w:cs="Times New Roman"/>
          <w:color w:val="7030A0"/>
          <w:sz w:val="26"/>
          <w:szCs w:val="26"/>
        </w:rPr>
        <w:t xml:space="preserve">:      </w:t>
      </w:r>
    </w:p>
    <w:p w:rsidR="00BC3B30" w:rsidRDefault="00AE70E0" w:rsidP="00BC3B30">
      <w:pPr>
        <w:ind w:left="360"/>
        <w:jc w:val="both"/>
        <w:rPr>
          <w:rFonts w:ascii="Times New Roman" w:hAnsi="Times New Roman" w:cs="Times New Roman"/>
          <w:sz w:val="26"/>
          <w:szCs w:val="26"/>
        </w:rPr>
      </w:pPr>
      <w:r w:rsidRPr="00AE70E0">
        <w:rPr>
          <w:rFonts w:ascii="Times New Roman" w:hAnsi="Times New Roman" w:cs="Times New Roman"/>
          <w:color w:val="0D0D0D" w:themeColor="text1" w:themeTint="F2"/>
          <w:sz w:val="26"/>
          <w:szCs w:val="26"/>
        </w:rPr>
        <w:t>In the future, we will continue our research from two aspects. First is how to accurately calculate the trust value of resources with only few monitored evidences reports and how to motivate more users to submit their feedback to the trust measurement engine. Implementing and evaluating the proposed mechanism in a large-scale multiple cloud system, such as distributed data sharing and remote computing, is another important direction for future research</w:t>
      </w:r>
      <w:r w:rsidRPr="00AE70E0">
        <w:rPr>
          <w:rFonts w:ascii="Times New Roman" w:hAnsi="Times New Roman" w:cs="Times New Roman"/>
          <w:sz w:val="26"/>
          <w:szCs w:val="26"/>
        </w:rPr>
        <w:t>.</w:t>
      </w:r>
    </w:p>
    <w:p w:rsidR="004E38B9" w:rsidRPr="00BC3B30" w:rsidRDefault="00AE70E0" w:rsidP="00BC3B30">
      <w:pPr>
        <w:ind w:left="360"/>
        <w:jc w:val="both"/>
        <w:rPr>
          <w:rFonts w:ascii="Times New Roman" w:hAnsi="Times New Roman" w:cs="Times New Roman"/>
          <w:sz w:val="26"/>
          <w:szCs w:val="26"/>
        </w:rPr>
      </w:pPr>
      <w:r w:rsidRPr="00AE70E0">
        <w:rPr>
          <w:rFonts w:ascii="Times New Roman" w:hAnsi="Times New Roman" w:cs="Times New Roman"/>
          <w:b/>
          <w:color w:val="7030A0"/>
          <w:sz w:val="26"/>
          <w:szCs w:val="26"/>
        </w:rPr>
        <w:lastRenderedPageBreak/>
        <w:t>Problem Statement:</w:t>
      </w:r>
      <w:r>
        <w:rPr>
          <w:rFonts w:ascii="Times New Roman" w:hAnsi="Times New Roman" w:cs="Times New Roman"/>
          <w:b/>
          <w:color w:val="7030A0"/>
          <w:sz w:val="26"/>
          <w:szCs w:val="26"/>
        </w:rPr>
        <w:t xml:space="preserve">   </w:t>
      </w:r>
    </w:p>
    <w:p w:rsidR="00BC3B30" w:rsidRDefault="00AE70E0"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b/>
          <w:color w:val="7030A0"/>
          <w:sz w:val="26"/>
          <w:szCs w:val="26"/>
        </w:rPr>
        <w:t xml:space="preserve"> </w:t>
      </w:r>
      <w:r w:rsidR="00E314D8">
        <w:rPr>
          <w:rFonts w:ascii="Times New Roman" w:hAnsi="Times New Roman" w:cs="Times New Roman"/>
          <w:color w:val="0D0D0D" w:themeColor="text1" w:themeTint="F2"/>
          <w:sz w:val="26"/>
          <w:szCs w:val="26"/>
        </w:rPr>
        <w:t>T</w:t>
      </w:r>
      <w:r w:rsidRPr="00AE70E0">
        <w:rPr>
          <w:rFonts w:ascii="Times New Roman" w:hAnsi="Times New Roman" w:cs="Times New Roman"/>
          <w:color w:val="0D0D0D" w:themeColor="text1" w:themeTint="F2"/>
          <w:sz w:val="26"/>
          <w:szCs w:val="26"/>
        </w:rPr>
        <w:t xml:space="preserve">he development of trust awareness technology for cloud computing has become a key and urgent research direction </w:t>
      </w:r>
      <w:r>
        <w:rPr>
          <w:rFonts w:ascii="Times New Roman" w:hAnsi="Times New Roman" w:cs="Times New Roman"/>
          <w:color w:val="0D0D0D" w:themeColor="text1" w:themeTint="F2"/>
          <w:sz w:val="26"/>
          <w:szCs w:val="26"/>
        </w:rPr>
        <w:t>.</w:t>
      </w:r>
      <w:r w:rsidRPr="00AE70E0">
        <w:rPr>
          <w:rFonts w:ascii="Times New Roman" w:hAnsi="Times New Roman" w:cs="Times New Roman"/>
          <w:color w:val="0D0D0D" w:themeColor="text1" w:themeTint="F2"/>
          <w:sz w:val="26"/>
          <w:szCs w:val="26"/>
        </w:rPr>
        <w:t>Today, the problem of trusted cloud computing has become a paramount concern for most users. It’s not that the users don’t trust cloud computing’s capabilities; rather, they mainly question the cl</w:t>
      </w:r>
      <w:r>
        <w:rPr>
          <w:rFonts w:ascii="Times New Roman" w:hAnsi="Times New Roman" w:cs="Times New Roman"/>
          <w:color w:val="0D0D0D" w:themeColor="text1" w:themeTint="F2"/>
          <w:sz w:val="26"/>
          <w:szCs w:val="26"/>
        </w:rPr>
        <w:t>oud computing’s trustworthiness.</w:t>
      </w:r>
    </w:p>
    <w:p w:rsidR="00182C06" w:rsidRDefault="00182C06"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Implementation of Modules:</w:t>
      </w:r>
    </w:p>
    <w:p w:rsidR="00182C06" w:rsidRDefault="00182C06" w:rsidP="00AE70E0">
      <w:pPr>
        <w:ind w:left="360"/>
        <w:jc w:val="both"/>
        <w:rPr>
          <w:rFonts w:ascii="Times New Roman" w:hAnsi="Times New Roman" w:cs="Times New Roman"/>
          <w:color w:val="0D0D0D" w:themeColor="text1" w:themeTint="F2"/>
          <w:sz w:val="26"/>
          <w:szCs w:val="26"/>
        </w:rPr>
      </w:pPr>
    </w:p>
    <w:p w:rsidR="00182C06" w:rsidRPr="00C51FC4" w:rsidRDefault="00182C06" w:rsidP="00AE70E0">
      <w:pPr>
        <w:ind w:left="360"/>
        <w:jc w:val="both"/>
        <w:rPr>
          <w:rFonts w:ascii="Times New Roman" w:hAnsi="Times New Roman" w:cs="Times New Roman"/>
          <w:b/>
          <w:color w:val="0000CC"/>
          <w:sz w:val="26"/>
          <w:szCs w:val="26"/>
        </w:rPr>
      </w:pPr>
      <w:r w:rsidRPr="00C51FC4">
        <w:rPr>
          <w:rFonts w:ascii="Times New Roman" w:hAnsi="Times New Roman" w:cs="Times New Roman"/>
          <w:b/>
          <w:color w:val="0D0D0D" w:themeColor="text1" w:themeTint="F2"/>
          <w:sz w:val="26"/>
          <w:szCs w:val="26"/>
        </w:rPr>
        <w:t xml:space="preserve">                                             </w:t>
      </w:r>
      <w:r w:rsidR="00C51FC4">
        <w:rPr>
          <w:rFonts w:ascii="Times New Roman" w:hAnsi="Times New Roman" w:cs="Times New Roman"/>
          <w:b/>
          <w:color w:val="0000CC"/>
          <w:sz w:val="26"/>
          <w:szCs w:val="26"/>
        </w:rPr>
        <w:t>System Architecture</w:t>
      </w:r>
    </w:p>
    <w:p w:rsidR="00BC3B30" w:rsidRDefault="00BC3B30" w:rsidP="00AE70E0">
      <w:pPr>
        <w:ind w:left="360"/>
        <w:jc w:val="both"/>
        <w:rPr>
          <w:rFonts w:ascii="Times New Roman" w:hAnsi="Times New Roman" w:cs="Times New Roman"/>
          <w:color w:val="0D0D0D" w:themeColor="text1" w:themeTint="F2"/>
          <w:sz w:val="26"/>
          <w:szCs w:val="26"/>
        </w:rPr>
      </w:pPr>
    </w:p>
    <w:p w:rsidR="00BC3B30" w:rsidRDefault="00BC3B30" w:rsidP="00AE70E0">
      <w:pPr>
        <w:ind w:left="360"/>
        <w:jc w:val="both"/>
        <w:rPr>
          <w:rFonts w:ascii="Times New Roman" w:hAnsi="Times New Roman" w:cs="Times New Roman"/>
          <w:color w:val="0D0D0D" w:themeColor="text1" w:themeTint="F2"/>
          <w:sz w:val="26"/>
          <w:szCs w:val="26"/>
        </w:rPr>
      </w:pPr>
    </w:p>
    <w:p w:rsidR="00BC3B30" w:rsidRDefault="00BC3B30"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noProof/>
          <w:color w:val="0D0D0D" w:themeColor="text1" w:themeTint="F2"/>
          <w:sz w:val="26"/>
          <w:szCs w:val="26"/>
        </w:rPr>
        <w:drawing>
          <wp:inline distT="0" distB="0" distL="0" distR="0">
            <wp:extent cx="5938410" cy="1962150"/>
            <wp:effectExtent l="19050" t="0" r="51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1963865"/>
                    </a:xfrm>
                    <a:prstGeom prst="rect">
                      <a:avLst/>
                    </a:prstGeom>
                    <a:noFill/>
                    <a:ln w="9525">
                      <a:noFill/>
                      <a:miter lim="800000"/>
                      <a:headEnd/>
                      <a:tailEnd/>
                    </a:ln>
                  </pic:spPr>
                </pic:pic>
              </a:graphicData>
            </a:graphic>
          </wp:inline>
        </w:drawing>
      </w:r>
    </w:p>
    <w:p w:rsidR="00BC3B30" w:rsidRDefault="00BC3B30" w:rsidP="00AE70E0">
      <w:pPr>
        <w:ind w:left="360"/>
        <w:jc w:val="both"/>
        <w:rPr>
          <w:rFonts w:ascii="Times New Roman" w:hAnsi="Times New Roman" w:cs="Times New Roman"/>
          <w:color w:val="0D0D0D" w:themeColor="text1" w:themeTint="F2"/>
          <w:sz w:val="26"/>
          <w:szCs w:val="26"/>
        </w:rPr>
      </w:pPr>
    </w:p>
    <w:p w:rsidR="008427FF" w:rsidRDefault="008427FF" w:rsidP="00AE70E0">
      <w:pPr>
        <w:ind w:left="360"/>
        <w:jc w:val="both"/>
        <w:rPr>
          <w:rFonts w:ascii="Times New Roman" w:hAnsi="Times New Roman" w:cs="Times New Roman"/>
          <w:b/>
          <w:color w:val="0000CC"/>
          <w:sz w:val="26"/>
          <w:szCs w:val="26"/>
        </w:rPr>
      </w:pPr>
    </w:p>
    <w:p w:rsidR="008427FF" w:rsidRDefault="008427FF"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Cloud </w:t>
      </w:r>
      <w:r w:rsidRPr="008427FF">
        <w:rPr>
          <w:rFonts w:ascii="Times New Roman" w:hAnsi="Times New Roman" w:cs="Times New Roman"/>
          <w:b/>
          <w:color w:val="0000CC"/>
          <w:sz w:val="26"/>
          <w:szCs w:val="26"/>
        </w:rPr>
        <w:t>User Module</w:t>
      </w:r>
    </w:p>
    <w:p w:rsidR="00FB25FB" w:rsidRDefault="00FB25FB" w:rsidP="00AE70E0">
      <w:pPr>
        <w:ind w:left="360"/>
        <w:jc w:val="both"/>
        <w:rPr>
          <w:rFonts w:ascii="Times New Roman" w:hAnsi="Times New Roman" w:cs="Times New Roman"/>
          <w:b/>
          <w:color w:val="0000CC"/>
          <w:sz w:val="26"/>
          <w:szCs w:val="26"/>
        </w:rPr>
      </w:pPr>
    </w:p>
    <w:p w:rsidR="008427FF" w:rsidRPr="00FB25FB" w:rsidRDefault="00FB25FB"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Cloud users can send request to the T-broker for accessing the cloud resources, </w:t>
      </w:r>
      <w:r w:rsidRPr="00FB25FB">
        <w:rPr>
          <w:rFonts w:ascii="Times New Roman" w:hAnsi="Times New Roman" w:cs="Times New Roman"/>
          <w:color w:val="0D0D0D" w:themeColor="text1" w:themeTint="F2"/>
          <w:sz w:val="26"/>
          <w:szCs w:val="26"/>
        </w:rPr>
        <w:t>The feedback system collects locally-generated users’ ratings and aggregates these ratings to yield the global evaluation scores. After a user completes a transaction, the user will provide his or her rating as a reference for other users in future transactions.</w:t>
      </w:r>
    </w:p>
    <w:p w:rsidR="008427FF" w:rsidRDefault="008427FF"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Cloud Resources Module</w:t>
      </w:r>
      <w:r w:rsidR="002B77CB">
        <w:rPr>
          <w:rFonts w:ascii="Times New Roman" w:hAnsi="Times New Roman" w:cs="Times New Roman"/>
          <w:b/>
          <w:color w:val="0000CC"/>
          <w:sz w:val="26"/>
          <w:szCs w:val="26"/>
        </w:rPr>
        <w:t>(Admin)</w:t>
      </w:r>
    </w:p>
    <w:p w:rsidR="008427FF" w:rsidRPr="00FB25FB" w:rsidRDefault="00FB25FB" w:rsidP="00AE70E0">
      <w:pPr>
        <w:ind w:left="360"/>
        <w:jc w:val="both"/>
        <w:rPr>
          <w:rFonts w:ascii="Times New Roman" w:hAnsi="Times New Roman" w:cs="Times New Roman"/>
          <w:color w:val="0D0D0D" w:themeColor="text1" w:themeTint="F2"/>
          <w:sz w:val="26"/>
          <w:szCs w:val="26"/>
        </w:rPr>
      </w:pPr>
      <w:r w:rsidRPr="00FB25FB">
        <w:rPr>
          <w:rFonts w:ascii="Times New Roman" w:hAnsi="Times New Roman" w:cs="Times New Roman"/>
          <w:color w:val="0D0D0D" w:themeColor="text1" w:themeTint="F2"/>
          <w:sz w:val="26"/>
          <w:szCs w:val="26"/>
        </w:rPr>
        <w:lastRenderedPageBreak/>
        <w:t>Clou</w:t>
      </w:r>
      <w:r>
        <w:rPr>
          <w:rFonts w:ascii="Times New Roman" w:hAnsi="Times New Roman" w:cs="Times New Roman"/>
          <w:color w:val="0D0D0D" w:themeColor="text1" w:themeTint="F2"/>
          <w:sz w:val="26"/>
          <w:szCs w:val="26"/>
        </w:rPr>
        <w:t>d resource module will provide the cloud resources</w:t>
      </w:r>
      <w:r w:rsidR="0044781F">
        <w:rPr>
          <w:rFonts w:ascii="Times New Roman" w:hAnsi="Times New Roman" w:cs="Times New Roman"/>
          <w:color w:val="0D0D0D" w:themeColor="text1" w:themeTint="F2"/>
          <w:sz w:val="26"/>
          <w:szCs w:val="26"/>
        </w:rPr>
        <w:t>.</w:t>
      </w:r>
      <w:r w:rsidR="0044781F" w:rsidRPr="0044781F">
        <w:t xml:space="preserve"> </w:t>
      </w:r>
      <w:r w:rsidR="0044781F" w:rsidRPr="0044781F">
        <w:rPr>
          <w:rFonts w:ascii="Times New Roman" w:hAnsi="Times New Roman" w:cs="Times New Roman"/>
          <w:color w:val="0D0D0D" w:themeColor="text1" w:themeTint="F2"/>
          <w:sz w:val="26"/>
          <w:szCs w:val="26"/>
        </w:rPr>
        <w:t>web based cloud computing managing tool for managing cloud infrastructure from multiple providers. RightScale enables organizations to easily deploy and manage business-critical applications across public, private, an</w:t>
      </w:r>
      <w:r w:rsidR="0044781F">
        <w:rPr>
          <w:rFonts w:ascii="Times New Roman" w:hAnsi="Times New Roman" w:cs="Times New Roman"/>
          <w:color w:val="0D0D0D" w:themeColor="text1" w:themeTint="F2"/>
          <w:sz w:val="26"/>
          <w:szCs w:val="26"/>
        </w:rPr>
        <w:t xml:space="preserve">d hybrid clouds. SpotCloud </w:t>
      </w:r>
      <w:r w:rsidR="0044781F" w:rsidRPr="0044781F">
        <w:rPr>
          <w:rFonts w:ascii="Times New Roman" w:hAnsi="Times New Roman" w:cs="Times New Roman"/>
          <w:color w:val="0D0D0D" w:themeColor="text1" w:themeTint="F2"/>
          <w:sz w:val="26"/>
          <w:szCs w:val="26"/>
        </w:rPr>
        <w:t>provides a structured cloud capacity marketplace where service providers sell the extra capacity they have and the buyers can take advantage of cheap rates selecting the best service provider at each moment</w:t>
      </w:r>
      <w:r w:rsidR="0044781F">
        <w:rPr>
          <w:rFonts w:ascii="Times New Roman" w:hAnsi="Times New Roman" w:cs="Times New Roman"/>
          <w:color w:val="0D0D0D" w:themeColor="text1" w:themeTint="F2"/>
          <w:sz w:val="26"/>
          <w:szCs w:val="26"/>
        </w:rPr>
        <w:t>.</w:t>
      </w:r>
      <w:r w:rsidR="0044781F" w:rsidRPr="0044781F">
        <w:t xml:space="preserve"> </w:t>
      </w:r>
      <w:r w:rsidR="0044781F" w:rsidRPr="0044781F">
        <w:rPr>
          <w:rFonts w:ascii="Times New Roman" w:hAnsi="Times New Roman" w:cs="Times New Roman"/>
          <w:color w:val="0D0D0D" w:themeColor="text1" w:themeTint="F2"/>
          <w:sz w:val="26"/>
          <w:szCs w:val="26"/>
        </w:rPr>
        <w:t>a cloud is modeled in seven layers: Facility, network, hardware, OS, middle ware, application, and the user. These layers can be controlled by either the cloud provide</w:t>
      </w:r>
      <w:r w:rsidR="0044781F">
        <w:rPr>
          <w:rFonts w:ascii="Times New Roman" w:hAnsi="Times New Roman" w:cs="Times New Roman"/>
          <w:color w:val="0D0D0D" w:themeColor="text1" w:themeTint="F2"/>
          <w:sz w:val="26"/>
          <w:szCs w:val="26"/>
        </w:rPr>
        <w:t xml:space="preserve">r or the cloud customer. In </w:t>
      </w:r>
      <w:r w:rsidR="0044781F" w:rsidRPr="0044781F">
        <w:rPr>
          <w:rFonts w:ascii="Times New Roman" w:hAnsi="Times New Roman" w:cs="Times New Roman"/>
          <w:color w:val="0D0D0D" w:themeColor="text1" w:themeTint="F2"/>
          <w:sz w:val="26"/>
          <w:szCs w:val="26"/>
        </w:rPr>
        <w:t xml:space="preserve">, the author presents a set of recommended restrictions and audits to facilitate cloud security. </w:t>
      </w:r>
      <w:r w:rsidR="00C84865">
        <w:rPr>
          <w:rFonts w:ascii="Times New Roman" w:hAnsi="Times New Roman" w:cs="Times New Roman"/>
          <w:color w:val="0D0D0D" w:themeColor="text1" w:themeTint="F2"/>
          <w:sz w:val="26"/>
          <w:szCs w:val="26"/>
        </w:rPr>
        <w:t>T</w:t>
      </w:r>
      <w:r w:rsidR="0044781F" w:rsidRPr="0044781F">
        <w:rPr>
          <w:rFonts w:ascii="Times New Roman" w:hAnsi="Times New Roman" w:cs="Times New Roman"/>
          <w:color w:val="0D0D0D" w:themeColor="text1" w:themeTint="F2"/>
          <w:sz w:val="26"/>
          <w:szCs w:val="26"/>
        </w:rPr>
        <w:t>he recommendations might be overkill for deployments involving no sensitive data, they might be insufficient to allow certain information to be hosted in any public or community cloud.</w:t>
      </w:r>
    </w:p>
    <w:p w:rsidR="008427FF" w:rsidRDefault="008427FF" w:rsidP="00AE70E0">
      <w:pPr>
        <w:ind w:left="360"/>
        <w:jc w:val="both"/>
        <w:rPr>
          <w:rFonts w:ascii="Times New Roman" w:hAnsi="Times New Roman" w:cs="Times New Roman"/>
          <w:b/>
          <w:color w:val="0000CC"/>
          <w:sz w:val="26"/>
          <w:szCs w:val="26"/>
        </w:rPr>
      </w:pPr>
    </w:p>
    <w:p w:rsidR="008427FF" w:rsidRDefault="008427FF"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T-Broker Module:</w:t>
      </w:r>
    </w:p>
    <w:p w:rsidR="008427FF" w:rsidRDefault="008427FF"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b/>
          <w:color w:val="0000CC"/>
          <w:sz w:val="26"/>
          <w:szCs w:val="26"/>
        </w:rPr>
        <w:t xml:space="preserve"> </w:t>
      </w:r>
      <w:r w:rsidRPr="008427FF">
        <w:rPr>
          <w:rFonts w:ascii="Times New Roman" w:hAnsi="Times New Roman" w:cs="Times New Roman"/>
          <w:color w:val="0D0D0D" w:themeColor="text1" w:themeTint="F2"/>
          <w:sz w:val="26"/>
          <w:szCs w:val="26"/>
        </w:rPr>
        <w:t>In</w:t>
      </w:r>
      <w:r>
        <w:rPr>
          <w:rFonts w:ascii="Times New Roman" w:hAnsi="Times New Roman" w:cs="Times New Roman"/>
          <w:b/>
          <w:color w:val="0000CC"/>
          <w:sz w:val="26"/>
          <w:szCs w:val="26"/>
        </w:rPr>
        <w:t xml:space="preserve"> </w:t>
      </w:r>
      <w:r w:rsidRPr="008427FF">
        <w:rPr>
          <w:rFonts w:ascii="Times New Roman" w:hAnsi="Times New Roman" w:cs="Times New Roman"/>
          <w:color w:val="0D0D0D" w:themeColor="text1" w:themeTint="F2"/>
          <w:sz w:val="26"/>
          <w:szCs w:val="26"/>
        </w:rPr>
        <w:t>this</w:t>
      </w:r>
      <w:r>
        <w:rPr>
          <w:rFonts w:ascii="Times New Roman" w:hAnsi="Times New Roman" w:cs="Times New Roman"/>
          <w:color w:val="0D0D0D" w:themeColor="text1" w:themeTint="F2"/>
          <w:sz w:val="26"/>
          <w:szCs w:val="26"/>
        </w:rPr>
        <w:t xml:space="preserve"> module T-broker uses some sub modules ,</w:t>
      </w:r>
    </w:p>
    <w:p w:rsidR="008427FF" w:rsidRDefault="00EF3B8D"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(i)</w:t>
      </w:r>
      <w:r w:rsidR="008427FF" w:rsidRPr="00426E61">
        <w:rPr>
          <w:rFonts w:ascii="Times New Roman" w:hAnsi="Times New Roman" w:cs="Times New Roman"/>
          <w:b/>
          <w:color w:val="0000CC"/>
          <w:sz w:val="26"/>
          <w:szCs w:val="26"/>
        </w:rPr>
        <w:t>Trust-aware brokering architecture</w:t>
      </w:r>
    </w:p>
    <w:p w:rsidR="00BC3B30" w:rsidRDefault="008427FF" w:rsidP="00AE70E0">
      <w:pPr>
        <w:ind w:left="360"/>
        <w:jc w:val="both"/>
        <w:rPr>
          <w:rFonts w:ascii="Times New Roman" w:hAnsi="Times New Roman" w:cs="Times New Roman"/>
          <w:color w:val="0D0D0D" w:themeColor="text1" w:themeTint="F2"/>
          <w:sz w:val="26"/>
          <w:szCs w:val="26"/>
        </w:rPr>
      </w:pPr>
      <w:r w:rsidRPr="008427FF">
        <w:rPr>
          <w:rFonts w:ascii="Times New Roman" w:hAnsi="Times New Roman" w:cs="Times New Roman"/>
          <w:color w:val="0D0D0D" w:themeColor="text1" w:themeTint="F2"/>
          <w:sz w:val="26"/>
          <w:szCs w:val="26"/>
        </w:rPr>
        <w:t>in which the broker itself acts as the TTP for trust management and resource scheduling. Through distributed soft-sensors, this brokering architecture can real-time monitor both dynamic service behavior of resource providers and feedbacks from users.</w:t>
      </w:r>
    </w:p>
    <w:p w:rsidR="00A661FA" w:rsidRPr="00B82B80" w:rsidRDefault="00EF3B8D"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(ii)</w:t>
      </w:r>
      <w:r w:rsidR="00A661FA" w:rsidRPr="00B82B80">
        <w:rPr>
          <w:rFonts w:ascii="Times New Roman" w:hAnsi="Times New Roman" w:cs="Times New Roman"/>
          <w:b/>
          <w:color w:val="0000CC"/>
          <w:sz w:val="26"/>
          <w:szCs w:val="26"/>
        </w:rPr>
        <w:t>Hybrid and Adaptive Trust Computation Model (HATCM)</w:t>
      </w:r>
    </w:p>
    <w:p w:rsidR="00B82B80" w:rsidRDefault="00A661FA" w:rsidP="00AE70E0">
      <w:pPr>
        <w:ind w:left="360"/>
        <w:jc w:val="both"/>
        <w:rPr>
          <w:rFonts w:ascii="Times New Roman" w:hAnsi="Times New Roman" w:cs="Times New Roman"/>
          <w:color w:val="0D0D0D" w:themeColor="text1" w:themeTint="F2"/>
          <w:sz w:val="26"/>
          <w:szCs w:val="26"/>
        </w:rPr>
      </w:pPr>
      <w:r w:rsidRPr="00A661FA">
        <w:rPr>
          <w:rFonts w:ascii="Times New Roman" w:hAnsi="Times New Roman" w:cs="Times New Roman"/>
          <w:color w:val="0D0D0D" w:themeColor="text1" w:themeTint="F2"/>
          <w:sz w:val="26"/>
          <w:szCs w:val="26"/>
        </w:rPr>
        <w:t>a hybrid and adaptive trust model to compute the overall trust degree of service resources, in which trust is defined as a fusion evaluation result from adaptively combining dynamic service behavior with the social feedback of the service resources.</w:t>
      </w:r>
      <w:r w:rsidR="007C2F51">
        <w:rPr>
          <w:rFonts w:ascii="Times New Roman" w:hAnsi="Times New Roman" w:cs="Times New Roman"/>
          <w:color w:val="0D0D0D" w:themeColor="text1" w:themeTint="F2"/>
          <w:sz w:val="26"/>
          <w:szCs w:val="26"/>
        </w:rPr>
        <w:t xml:space="preserve"> The HATCM allows  </w:t>
      </w:r>
      <w:r w:rsidR="007C2F51" w:rsidRPr="007C2F51">
        <w:rPr>
          <w:rFonts w:ascii="Times New Roman" w:hAnsi="Times New Roman" w:cs="Times New Roman"/>
          <w:color w:val="0D0D0D" w:themeColor="text1" w:themeTint="F2"/>
          <w:sz w:val="26"/>
          <w:szCs w:val="26"/>
        </w:rPr>
        <w:t>cloud users to specify their requirements and opinions when accessing the trust score of cloud providers. That is, users can specify their own preferences, according to their business policy and requirements, to get a customized trust value of the cloud providers</w:t>
      </w:r>
    </w:p>
    <w:p w:rsidR="00B82B80" w:rsidRPr="00B82B80" w:rsidRDefault="00EF3B8D"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(iii)</w:t>
      </w:r>
      <w:r w:rsidR="00B82B80">
        <w:rPr>
          <w:rFonts w:ascii="Times New Roman" w:hAnsi="Times New Roman" w:cs="Times New Roman"/>
          <w:b/>
          <w:color w:val="0000CC"/>
          <w:sz w:val="26"/>
          <w:szCs w:val="26"/>
        </w:rPr>
        <w:t>M</w:t>
      </w:r>
      <w:r w:rsidR="00B82B80" w:rsidRPr="00B82B80">
        <w:rPr>
          <w:rFonts w:ascii="Times New Roman" w:hAnsi="Times New Roman" w:cs="Times New Roman"/>
          <w:b/>
          <w:color w:val="0000CC"/>
          <w:sz w:val="26"/>
          <w:szCs w:val="26"/>
        </w:rPr>
        <w:t>aximizing deviation method</w:t>
      </w:r>
      <w:r>
        <w:rPr>
          <w:rFonts w:ascii="Times New Roman" w:hAnsi="Times New Roman" w:cs="Times New Roman"/>
          <w:b/>
          <w:color w:val="0000CC"/>
          <w:sz w:val="26"/>
          <w:szCs w:val="26"/>
        </w:rPr>
        <w:t>(MDM)</w:t>
      </w:r>
      <w:r w:rsidR="00B82B80" w:rsidRPr="00B82B80">
        <w:rPr>
          <w:rFonts w:ascii="Times New Roman" w:hAnsi="Times New Roman" w:cs="Times New Roman"/>
          <w:b/>
          <w:color w:val="0000CC"/>
          <w:sz w:val="26"/>
          <w:szCs w:val="26"/>
        </w:rPr>
        <w:t>:</w:t>
      </w:r>
    </w:p>
    <w:p w:rsidR="00B82B80" w:rsidRDefault="00B82B80"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w:t>
      </w:r>
      <w:r w:rsidRPr="00B82B80">
        <w:rPr>
          <w:rFonts w:ascii="Times New Roman" w:hAnsi="Times New Roman" w:cs="Times New Roman"/>
          <w:color w:val="0D0D0D" w:themeColor="text1" w:themeTint="F2"/>
          <w:sz w:val="26"/>
          <w:szCs w:val="26"/>
        </w:rPr>
        <w:t xml:space="preserve"> maximizing deviation method to compute the direct trust of service resource, which can overcome the limitations of traditional trust models, in which the trusted attributes </w:t>
      </w:r>
      <w:r w:rsidRPr="00B82B80">
        <w:rPr>
          <w:rFonts w:ascii="Times New Roman" w:hAnsi="Times New Roman" w:cs="Times New Roman"/>
          <w:color w:val="0D0D0D" w:themeColor="text1" w:themeTint="F2"/>
          <w:sz w:val="26"/>
          <w:szCs w:val="26"/>
        </w:rPr>
        <w:lastRenderedPageBreak/>
        <w:t>are weighted manually or subjectively. At the same time, this method has a faster convergence than other existing approaches.</w:t>
      </w:r>
    </w:p>
    <w:p w:rsidR="00B82B80" w:rsidRDefault="00EF3B8D"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(iv)</w:t>
      </w:r>
      <w:r w:rsidR="00B82B80" w:rsidRPr="00B82B80">
        <w:rPr>
          <w:rFonts w:ascii="Times New Roman" w:hAnsi="Times New Roman" w:cs="Times New Roman"/>
          <w:b/>
          <w:color w:val="0000CC"/>
          <w:sz w:val="26"/>
          <w:szCs w:val="26"/>
        </w:rPr>
        <w:t>Sensor-Based Service Monitoring (SSM)</w:t>
      </w:r>
      <w:r w:rsidR="00B82B80">
        <w:rPr>
          <w:rFonts w:ascii="Times New Roman" w:hAnsi="Times New Roman" w:cs="Times New Roman"/>
          <w:b/>
          <w:color w:val="0000CC"/>
          <w:sz w:val="26"/>
          <w:szCs w:val="26"/>
        </w:rPr>
        <w:t>:</w:t>
      </w:r>
    </w:p>
    <w:p w:rsidR="00BC3B30" w:rsidRDefault="004E1F59" w:rsidP="00AE70E0">
      <w:pPr>
        <w:ind w:left="360"/>
        <w:jc w:val="both"/>
        <w:rPr>
          <w:rFonts w:ascii="Times New Roman" w:hAnsi="Times New Roman" w:cs="Times New Roman"/>
          <w:color w:val="0D0D0D" w:themeColor="text1" w:themeTint="F2"/>
          <w:sz w:val="26"/>
          <w:szCs w:val="26"/>
        </w:rPr>
      </w:pPr>
      <w:r w:rsidRPr="004E1F59">
        <w:rPr>
          <w:rFonts w:ascii="Times New Roman" w:hAnsi="Times New Roman" w:cs="Times New Roman"/>
          <w:color w:val="0D0D0D" w:themeColor="text1" w:themeTint="F2"/>
          <w:sz w:val="26"/>
          <w:szCs w:val="26"/>
        </w:rPr>
        <w:t>This module is used to monitor the real-time service data of allocated resources in</w:t>
      </w:r>
      <w:r>
        <w:rPr>
          <w:rFonts w:ascii="Times New Roman" w:hAnsi="Times New Roman" w:cs="Times New Roman"/>
          <w:color w:val="0D0D0D" w:themeColor="text1" w:themeTint="F2"/>
          <w:sz w:val="26"/>
          <w:szCs w:val="26"/>
        </w:rPr>
        <w:t>+</w:t>
      </w:r>
      <w:r w:rsidRPr="004E1F59">
        <w:rPr>
          <w:rFonts w:ascii="Times New Roman" w:hAnsi="Times New Roman" w:cs="Times New Roman"/>
          <w:color w:val="0D0D0D" w:themeColor="text1" w:themeTint="F2"/>
          <w:sz w:val="26"/>
          <w:szCs w:val="26"/>
        </w:rPr>
        <w:t xml:space="preserve"> order to guarantee the SLA (Service Level Agreement) with the users. In the interactive process, this module dynamically monitors the service parameters and is responsible for getting run-time service data. The monitored data is stored in the evidence base, which is maintained by the broker. To calculating QoS-based trustworthiness of a resource we mainly focus on five kinds of trusted attributes of cloud services, which consists of node spec profile, average resource usage information, average response time, average task success ratio, and the number of malicious access. The node spec profile includes four trusted evidences: CPU frequency, memory size, hard disk capacity and network bandwidth. The average resource usage information consists of the current CPU utilization rate, current memory utilization rate, current hard disk utilization rate and current bandwidth utilization rate. The number of malicious access includes the number of illegal connections and the times of scanning sensitive ports.</w:t>
      </w:r>
    </w:p>
    <w:p w:rsidR="004E1F59" w:rsidRPr="00914B06" w:rsidRDefault="00EF3B8D"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(v)</w:t>
      </w:r>
      <w:r w:rsidR="004E1F59" w:rsidRPr="00914B06">
        <w:rPr>
          <w:rFonts w:ascii="Times New Roman" w:hAnsi="Times New Roman" w:cs="Times New Roman"/>
          <w:b/>
          <w:color w:val="0000CC"/>
          <w:sz w:val="26"/>
          <w:szCs w:val="26"/>
        </w:rPr>
        <w:t>Virtual Infrastructure Manager (VIM)</w:t>
      </w:r>
    </w:p>
    <w:p w:rsidR="004E1F59" w:rsidRDefault="004E1F59" w:rsidP="00AE70E0">
      <w:pPr>
        <w:ind w:left="360"/>
        <w:jc w:val="both"/>
        <w:rPr>
          <w:rFonts w:ascii="Times New Roman" w:hAnsi="Times New Roman" w:cs="Times New Roman"/>
          <w:color w:val="0D0D0D" w:themeColor="text1" w:themeTint="F2"/>
          <w:sz w:val="26"/>
          <w:szCs w:val="26"/>
        </w:rPr>
      </w:pPr>
      <w:r w:rsidRPr="004E1F59">
        <w:rPr>
          <w:rFonts w:ascii="Times New Roman" w:hAnsi="Times New Roman" w:cs="Times New Roman"/>
          <w:color w:val="0D0D0D" w:themeColor="text1" w:themeTint="F2"/>
          <w:sz w:val="26"/>
          <w:szCs w:val="26"/>
        </w:rPr>
        <w:t xml:space="preserve">Each cloud provider offers several VM configurations, often referred to as instance types. An instance type is defined in terms of hardware metrics such as CPU frequency, memory size, hard disk capacity, etc. In this work, the VIM component is based on the OpenNebula virtual infrastructure manager </w:t>
      </w:r>
      <w:r>
        <w:rPr>
          <w:rFonts w:ascii="Times New Roman" w:hAnsi="Times New Roman" w:cs="Times New Roman"/>
          <w:color w:val="0D0D0D" w:themeColor="text1" w:themeTint="F2"/>
          <w:sz w:val="26"/>
          <w:szCs w:val="26"/>
        </w:rPr>
        <w:t xml:space="preserve"> </w:t>
      </w:r>
      <w:r w:rsidRPr="004E1F59">
        <w:rPr>
          <w:rFonts w:ascii="Times New Roman" w:hAnsi="Times New Roman" w:cs="Times New Roman"/>
          <w:color w:val="0D0D0D" w:themeColor="text1" w:themeTint="F2"/>
          <w:sz w:val="26"/>
          <w:szCs w:val="26"/>
        </w:rPr>
        <w:t>this module is used to collect and index all these resources information from multiple cloud providers. It obtains the information from each particular cloud provider and acts as a resource management interface for monitoring system. Cloud providers register their resource information through the VIM module to be able to act as sellers in a multi-cloud marketplace. This component is also responsible for the deployment of each VM in the selected cloud as specified by the VM template, as well as for the management of the VM life-cycle. The VIM caters for user interaction with the virtual infrastructure by making the respective IP addresses of the infrastructure components available to the user once it has deployed all VMs.</w:t>
      </w:r>
    </w:p>
    <w:p w:rsidR="00EF3B8D" w:rsidRPr="00EF3B8D" w:rsidRDefault="00EF3B8D" w:rsidP="00AE70E0">
      <w:pPr>
        <w:ind w:left="360"/>
        <w:jc w:val="both"/>
        <w:rPr>
          <w:rFonts w:ascii="Times New Roman" w:hAnsi="Times New Roman" w:cs="Times New Roman"/>
          <w:b/>
          <w:color w:val="0000CC"/>
          <w:sz w:val="26"/>
          <w:szCs w:val="26"/>
        </w:rPr>
      </w:pPr>
      <w:r>
        <w:rPr>
          <w:rFonts w:ascii="Times New Roman" w:hAnsi="Times New Roman" w:cs="Times New Roman"/>
          <w:b/>
          <w:color w:val="0000CC"/>
          <w:sz w:val="26"/>
          <w:szCs w:val="26"/>
        </w:rPr>
        <w:t>(vi)</w:t>
      </w:r>
      <w:r w:rsidRPr="00EF3B8D">
        <w:rPr>
          <w:rFonts w:ascii="Times New Roman" w:hAnsi="Times New Roman" w:cs="Times New Roman"/>
          <w:b/>
          <w:color w:val="0000CC"/>
          <w:sz w:val="26"/>
          <w:szCs w:val="26"/>
        </w:rPr>
        <w:t>Service level agreement Manager(SLA)</w:t>
      </w:r>
    </w:p>
    <w:p w:rsidR="00EF3B8D" w:rsidRDefault="00EF3B8D" w:rsidP="00AE70E0">
      <w:pPr>
        <w:ind w:left="360"/>
        <w:jc w:val="both"/>
        <w:rPr>
          <w:rFonts w:ascii="Times New Roman" w:hAnsi="Times New Roman" w:cs="Times New Roman"/>
          <w:color w:val="0D0D0D" w:themeColor="text1" w:themeTint="F2"/>
          <w:sz w:val="26"/>
          <w:szCs w:val="26"/>
        </w:rPr>
      </w:pPr>
      <w:r w:rsidRPr="00EF3B8D">
        <w:rPr>
          <w:rFonts w:ascii="Times New Roman" w:hAnsi="Times New Roman" w:cs="Times New Roman"/>
          <w:color w:val="0D0D0D" w:themeColor="text1" w:themeTint="F2"/>
          <w:sz w:val="26"/>
          <w:szCs w:val="26"/>
        </w:rPr>
        <w:t xml:space="preserve">In the multiple cloud computing environment, SLA can offer an appropriate guarantee for the service of quality of resource providers, and it serves as the foundation for the </w:t>
      </w:r>
      <w:r w:rsidRPr="00EF3B8D">
        <w:rPr>
          <w:rFonts w:ascii="Times New Roman" w:hAnsi="Times New Roman" w:cs="Times New Roman"/>
          <w:color w:val="0D0D0D" w:themeColor="text1" w:themeTint="F2"/>
          <w:sz w:val="26"/>
          <w:szCs w:val="26"/>
        </w:rPr>
        <w:lastRenderedPageBreak/>
        <w:t>expected level of service between the users and the providers An SLA is a contract agreed between a user and a provider which defines a series of service quality characters. Adding trust mechanism into the SLA management</w:t>
      </w:r>
      <w:r>
        <w:rPr>
          <w:rFonts w:ascii="Times New Roman" w:hAnsi="Times New Roman" w:cs="Times New Roman"/>
          <w:color w:val="0D0D0D" w:themeColor="text1" w:themeTint="F2"/>
          <w:sz w:val="26"/>
          <w:szCs w:val="26"/>
        </w:rPr>
        <w:t xml:space="preserve"> </w:t>
      </w:r>
      <w:r w:rsidRPr="00EF3B8D">
        <w:rPr>
          <w:rFonts w:ascii="Times New Roman" w:hAnsi="Times New Roman" w:cs="Times New Roman"/>
          <w:color w:val="0D0D0D" w:themeColor="text1" w:themeTint="F2"/>
          <w:sz w:val="26"/>
          <w:szCs w:val="26"/>
        </w:rPr>
        <w:t>cloud brokering system can prepare the best trustworthiness resources for each service request in advance, and allocate the best resources to users. In general, the service resource register its services on the cloud brokering system. The service user negotiates with the service provider about the SLA details; they finally make a SLA contract. According to the SLA contract, the resource matching module selects and composites highly trusted resources to users from the trusted resource pool</w:t>
      </w:r>
      <w:r>
        <w:rPr>
          <w:rFonts w:ascii="Times New Roman" w:hAnsi="Times New Roman" w:cs="Times New Roman"/>
          <w:color w:val="0D0D0D" w:themeColor="text1" w:themeTint="F2"/>
          <w:sz w:val="26"/>
          <w:szCs w:val="26"/>
        </w:rPr>
        <w:t>.</w:t>
      </w:r>
    </w:p>
    <w:p w:rsidR="00E1009A" w:rsidRDefault="00E1009A" w:rsidP="00AE70E0">
      <w:pPr>
        <w:ind w:left="360"/>
        <w:jc w:val="both"/>
        <w:rPr>
          <w:rFonts w:ascii="Times New Roman" w:hAnsi="Times New Roman" w:cs="Times New Roman"/>
          <w:b/>
          <w:color w:val="2126F3"/>
          <w:sz w:val="26"/>
          <w:szCs w:val="26"/>
        </w:rPr>
      </w:pPr>
      <w:r w:rsidRPr="00E1009A">
        <w:rPr>
          <w:rFonts w:ascii="Times New Roman" w:hAnsi="Times New Roman" w:cs="Times New Roman"/>
          <w:b/>
          <w:color w:val="2126F3"/>
          <w:sz w:val="26"/>
          <w:szCs w:val="26"/>
        </w:rPr>
        <w:t xml:space="preserve">Multiple </w:t>
      </w:r>
      <w:proofErr w:type="gramStart"/>
      <w:r w:rsidRPr="00E1009A">
        <w:rPr>
          <w:rFonts w:ascii="Times New Roman" w:hAnsi="Times New Roman" w:cs="Times New Roman"/>
          <w:b/>
          <w:color w:val="2126F3"/>
          <w:sz w:val="26"/>
          <w:szCs w:val="26"/>
        </w:rPr>
        <w:t>cloud</w:t>
      </w:r>
      <w:proofErr w:type="gramEnd"/>
      <w:r w:rsidRPr="00E1009A">
        <w:rPr>
          <w:rFonts w:ascii="Times New Roman" w:hAnsi="Times New Roman" w:cs="Times New Roman"/>
          <w:b/>
          <w:color w:val="2126F3"/>
          <w:sz w:val="26"/>
          <w:szCs w:val="26"/>
        </w:rPr>
        <w:t xml:space="preserve"> computing</w:t>
      </w:r>
      <w:r>
        <w:rPr>
          <w:rFonts w:ascii="Times New Roman" w:hAnsi="Times New Roman" w:cs="Times New Roman"/>
          <w:b/>
          <w:color w:val="2126F3"/>
          <w:sz w:val="26"/>
          <w:szCs w:val="26"/>
        </w:rPr>
        <w:t>:</w:t>
      </w:r>
    </w:p>
    <w:p w:rsidR="00E1009A" w:rsidRDefault="00E1009A" w:rsidP="00AE70E0">
      <w:pPr>
        <w:ind w:left="360"/>
        <w:jc w:val="both"/>
        <w:rPr>
          <w:rFonts w:ascii="Times New Roman" w:hAnsi="Times New Roman" w:cs="Times New Roman"/>
          <w:color w:val="0D0D0D" w:themeColor="text1" w:themeTint="F2"/>
          <w:sz w:val="26"/>
          <w:szCs w:val="26"/>
        </w:rPr>
      </w:pPr>
      <w:r w:rsidRPr="00E1009A">
        <w:rPr>
          <w:rFonts w:ascii="Times New Roman" w:hAnsi="Times New Roman" w:cs="Times New Roman"/>
          <w:color w:val="0D0D0D" w:themeColor="text1" w:themeTint="F2"/>
          <w:sz w:val="26"/>
          <w:szCs w:val="26"/>
        </w:rPr>
        <w:t xml:space="preserve">MULTIPLE cloud theories and technologies are the hot directions in the cloud computing industry, which a lot of companies and government are putting much concern to make sure that they have benefited from this new innovation However, compared with traditional networks, multiple cloud computing environment has </w:t>
      </w:r>
      <w:proofErr w:type="spellStart"/>
      <w:r w:rsidRPr="00E1009A">
        <w:rPr>
          <w:rFonts w:ascii="Times New Roman" w:hAnsi="Times New Roman" w:cs="Times New Roman"/>
          <w:color w:val="0D0D0D" w:themeColor="text1" w:themeTint="F2"/>
          <w:sz w:val="26"/>
          <w:szCs w:val="26"/>
        </w:rPr>
        <w:t>manyunique</w:t>
      </w:r>
      <w:proofErr w:type="spellEnd"/>
      <w:r w:rsidRPr="00E1009A">
        <w:rPr>
          <w:rFonts w:ascii="Times New Roman" w:hAnsi="Times New Roman" w:cs="Times New Roman"/>
          <w:color w:val="0D0D0D" w:themeColor="text1" w:themeTint="F2"/>
          <w:sz w:val="26"/>
          <w:szCs w:val="26"/>
        </w:rPr>
        <w:t xml:space="preserve"> features such as resources belonging to each cloud provider, and such resources being completely distributed, heterogeneous, and totally virtualized; these features indicate that unmodified traditional trust mechanisms can no longer be used in multiple cloud computing environments. A lack of trust between cloud users and providers has hindered the universal acceptance of clouds as outsourced computing services. Thus, the development of trust awareness technology for cloud computing has become a key and urgent research direction Today, the problem of trusted cloud computing has become a paramount concern for most users. It’s not that the users don’t trust cloud </w:t>
      </w:r>
      <w:proofErr w:type="spellStart"/>
      <w:r w:rsidRPr="00E1009A">
        <w:rPr>
          <w:rFonts w:ascii="Times New Roman" w:hAnsi="Times New Roman" w:cs="Times New Roman"/>
          <w:color w:val="0D0D0D" w:themeColor="text1" w:themeTint="F2"/>
          <w:sz w:val="26"/>
          <w:szCs w:val="26"/>
        </w:rPr>
        <w:t>computing’s</w:t>
      </w:r>
      <w:proofErr w:type="spellEnd"/>
      <w:r w:rsidRPr="00E1009A">
        <w:rPr>
          <w:rFonts w:ascii="Times New Roman" w:hAnsi="Times New Roman" w:cs="Times New Roman"/>
          <w:color w:val="0D0D0D" w:themeColor="text1" w:themeTint="F2"/>
          <w:sz w:val="26"/>
          <w:szCs w:val="26"/>
        </w:rPr>
        <w:t xml:space="preserve"> capabilities; rather, they mainly question the cloud </w:t>
      </w:r>
      <w:proofErr w:type="spellStart"/>
      <w:r w:rsidRPr="00E1009A">
        <w:rPr>
          <w:rFonts w:ascii="Times New Roman" w:hAnsi="Times New Roman" w:cs="Times New Roman"/>
          <w:color w:val="0D0D0D" w:themeColor="text1" w:themeTint="F2"/>
          <w:sz w:val="26"/>
          <w:szCs w:val="26"/>
        </w:rPr>
        <w:t>computing’s</w:t>
      </w:r>
      <w:proofErr w:type="spellEnd"/>
      <w:r w:rsidRPr="00E1009A">
        <w:rPr>
          <w:rFonts w:ascii="Times New Roman" w:hAnsi="Times New Roman" w:cs="Times New Roman"/>
          <w:color w:val="0D0D0D" w:themeColor="text1" w:themeTint="F2"/>
          <w:sz w:val="26"/>
          <w:szCs w:val="26"/>
        </w:rPr>
        <w:t xml:space="preserve"> </w:t>
      </w:r>
      <w:proofErr w:type="gramStart"/>
      <w:r w:rsidRPr="00E1009A">
        <w:rPr>
          <w:rFonts w:ascii="Times New Roman" w:hAnsi="Times New Roman" w:cs="Times New Roman"/>
          <w:color w:val="0D0D0D" w:themeColor="text1" w:themeTint="F2"/>
          <w:sz w:val="26"/>
          <w:szCs w:val="26"/>
        </w:rPr>
        <w:t xml:space="preserve">trustworthiness </w:t>
      </w:r>
      <w:r>
        <w:rPr>
          <w:rFonts w:ascii="Times New Roman" w:hAnsi="Times New Roman" w:cs="Times New Roman"/>
          <w:color w:val="0D0D0D" w:themeColor="text1" w:themeTint="F2"/>
          <w:sz w:val="26"/>
          <w:szCs w:val="26"/>
        </w:rPr>
        <w:t>.</w:t>
      </w:r>
      <w:proofErr w:type="gramEnd"/>
    </w:p>
    <w:p w:rsidR="004B3A3F" w:rsidRPr="004B3A3F" w:rsidRDefault="004B3A3F" w:rsidP="00AE70E0">
      <w:pPr>
        <w:ind w:left="360"/>
        <w:jc w:val="both"/>
        <w:rPr>
          <w:b/>
          <w:color w:val="2126F3"/>
        </w:rPr>
      </w:pPr>
      <w:proofErr w:type="spellStart"/>
      <w:r w:rsidRPr="004B3A3F">
        <w:rPr>
          <w:rFonts w:ascii="Times New Roman" w:hAnsi="Times New Roman" w:cs="Times New Roman"/>
          <w:b/>
          <w:color w:val="2126F3"/>
          <w:sz w:val="26"/>
          <w:szCs w:val="26"/>
        </w:rPr>
        <w:t>FeedBack</w:t>
      </w:r>
      <w:proofErr w:type="spellEnd"/>
      <w:r w:rsidRPr="004B3A3F">
        <w:rPr>
          <w:rFonts w:ascii="Times New Roman" w:hAnsi="Times New Roman" w:cs="Times New Roman"/>
          <w:b/>
          <w:color w:val="2126F3"/>
          <w:sz w:val="26"/>
          <w:szCs w:val="26"/>
        </w:rPr>
        <w:t xml:space="preserve"> Aggregation:</w:t>
      </w:r>
      <w:r w:rsidRPr="004B3A3F">
        <w:rPr>
          <w:b/>
          <w:color w:val="2126F3"/>
        </w:rPr>
        <w:t xml:space="preserve"> </w:t>
      </w:r>
    </w:p>
    <w:p w:rsidR="004B3A3F" w:rsidRDefault="004B3A3F" w:rsidP="00AE70E0">
      <w:pPr>
        <w:ind w:left="36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T</w:t>
      </w:r>
      <w:r w:rsidRPr="004B3A3F">
        <w:rPr>
          <w:rFonts w:ascii="Times New Roman" w:hAnsi="Times New Roman" w:cs="Times New Roman"/>
          <w:color w:val="0D0D0D" w:themeColor="text1" w:themeTint="F2"/>
          <w:sz w:val="26"/>
          <w:szCs w:val="26"/>
        </w:rPr>
        <w:t>he “Trust as a Service” (</w:t>
      </w:r>
      <w:proofErr w:type="spellStart"/>
      <w:r w:rsidRPr="004B3A3F">
        <w:rPr>
          <w:rFonts w:ascii="Times New Roman" w:hAnsi="Times New Roman" w:cs="Times New Roman"/>
          <w:color w:val="0D0D0D" w:themeColor="text1" w:themeTint="F2"/>
          <w:sz w:val="26"/>
          <w:szCs w:val="26"/>
        </w:rPr>
        <w:t>TaaS</w:t>
      </w:r>
      <w:proofErr w:type="spellEnd"/>
      <w:r w:rsidRPr="004B3A3F">
        <w:rPr>
          <w:rFonts w:ascii="Times New Roman" w:hAnsi="Times New Roman" w:cs="Times New Roman"/>
          <w:color w:val="0D0D0D" w:themeColor="text1" w:themeTint="F2"/>
          <w:sz w:val="26"/>
          <w:szCs w:val="26"/>
        </w:rPr>
        <w:t>) framework to improve ways on trust manag</w:t>
      </w:r>
      <w:r>
        <w:rPr>
          <w:rFonts w:ascii="Times New Roman" w:hAnsi="Times New Roman" w:cs="Times New Roman"/>
          <w:color w:val="0D0D0D" w:themeColor="text1" w:themeTint="F2"/>
          <w:sz w:val="26"/>
          <w:szCs w:val="26"/>
        </w:rPr>
        <w:t xml:space="preserve">ement in cloud </w:t>
      </w:r>
      <w:proofErr w:type="gramStart"/>
      <w:r>
        <w:rPr>
          <w:rFonts w:ascii="Times New Roman" w:hAnsi="Times New Roman" w:cs="Times New Roman"/>
          <w:color w:val="0D0D0D" w:themeColor="text1" w:themeTint="F2"/>
          <w:sz w:val="26"/>
          <w:szCs w:val="26"/>
        </w:rPr>
        <w:t xml:space="preserve">environments </w:t>
      </w:r>
      <w:r w:rsidRPr="004B3A3F">
        <w:rPr>
          <w:rFonts w:ascii="Times New Roman" w:hAnsi="Times New Roman" w:cs="Times New Roman"/>
          <w:color w:val="0D0D0D" w:themeColor="text1" w:themeTint="F2"/>
          <w:sz w:val="26"/>
          <w:szCs w:val="26"/>
        </w:rPr>
        <w:t>.</w:t>
      </w:r>
      <w:proofErr w:type="gramEnd"/>
      <w:r w:rsidRPr="004B3A3F">
        <w:rPr>
          <w:rFonts w:ascii="Times New Roman" w:hAnsi="Times New Roman" w:cs="Times New Roman"/>
          <w:color w:val="0D0D0D" w:themeColor="text1" w:themeTint="F2"/>
          <w:sz w:val="26"/>
          <w:szCs w:val="26"/>
        </w:rPr>
        <w:t xml:space="preserve"> In particular, the authors introduce an adaptive credibility model that distinguishes between credible trust feedbacks and malicious feedbacks by considering cloud service consumers’ capability and majority consensus of their feedbacks. However, this framework does not allow </w:t>
      </w:r>
      <w:proofErr w:type="gramStart"/>
      <w:r w:rsidRPr="004B3A3F">
        <w:rPr>
          <w:rFonts w:ascii="Times New Roman" w:hAnsi="Times New Roman" w:cs="Times New Roman"/>
          <w:color w:val="0D0D0D" w:themeColor="text1" w:themeTint="F2"/>
          <w:sz w:val="26"/>
          <w:szCs w:val="26"/>
        </w:rPr>
        <w:t>to assess</w:t>
      </w:r>
      <w:proofErr w:type="gramEnd"/>
      <w:r w:rsidRPr="004B3A3F">
        <w:rPr>
          <w:rFonts w:ascii="Times New Roman" w:hAnsi="Times New Roman" w:cs="Times New Roman"/>
          <w:color w:val="0D0D0D" w:themeColor="text1" w:themeTint="F2"/>
          <w:sz w:val="26"/>
          <w:szCs w:val="26"/>
        </w:rPr>
        <w:t xml:space="preserve"> trustworthiness based on monitoring information as well as users’ feedback.</w:t>
      </w:r>
      <w:r w:rsidRPr="004B3A3F">
        <w:t xml:space="preserve"> </w:t>
      </w:r>
      <w:r w:rsidRPr="004B3A3F">
        <w:rPr>
          <w:rFonts w:ascii="Times New Roman" w:hAnsi="Times New Roman" w:cs="Times New Roman"/>
          <w:color w:val="0D0D0D" w:themeColor="text1" w:themeTint="F2"/>
          <w:sz w:val="26"/>
          <w:szCs w:val="26"/>
        </w:rPr>
        <w:t xml:space="preserve">In large-scale distributed systems, such as grid computing, P2P computing, wireless sensor networks, and so on, feedback provides an efficient and effective way to build a </w:t>
      </w:r>
      <w:proofErr w:type="spellStart"/>
      <w:r w:rsidRPr="004B3A3F">
        <w:rPr>
          <w:rFonts w:ascii="Times New Roman" w:hAnsi="Times New Roman" w:cs="Times New Roman"/>
          <w:color w:val="0D0D0D" w:themeColor="text1" w:themeTint="F2"/>
          <w:sz w:val="26"/>
          <w:szCs w:val="26"/>
        </w:rPr>
        <w:t>socialevaluation</w:t>
      </w:r>
      <w:proofErr w:type="spellEnd"/>
      <w:r w:rsidRPr="004B3A3F">
        <w:rPr>
          <w:rFonts w:ascii="Times New Roman" w:hAnsi="Times New Roman" w:cs="Times New Roman"/>
          <w:color w:val="0D0D0D" w:themeColor="text1" w:themeTint="F2"/>
          <w:sz w:val="26"/>
          <w:szCs w:val="26"/>
        </w:rPr>
        <w:t xml:space="preserve">- based trust relationship among network entities. By the same token, </w:t>
      </w:r>
      <w:proofErr w:type="gramStart"/>
      <w:r w:rsidRPr="004B3A3F">
        <w:rPr>
          <w:rFonts w:ascii="Times New Roman" w:hAnsi="Times New Roman" w:cs="Times New Roman"/>
          <w:color w:val="0D0D0D" w:themeColor="text1" w:themeTint="F2"/>
          <w:sz w:val="26"/>
          <w:szCs w:val="26"/>
        </w:rPr>
        <w:t>feedback also can</w:t>
      </w:r>
      <w:proofErr w:type="gramEnd"/>
      <w:r w:rsidRPr="004B3A3F">
        <w:rPr>
          <w:rFonts w:ascii="Times New Roman" w:hAnsi="Times New Roman" w:cs="Times New Roman"/>
          <w:color w:val="0D0D0D" w:themeColor="text1" w:themeTint="F2"/>
          <w:sz w:val="26"/>
          <w:szCs w:val="26"/>
        </w:rPr>
        <w:t xml:space="preserve"> provider important reference in evaluating cloud resource trustworthiness. Consider </w:t>
      </w:r>
      <w:r w:rsidRPr="004B3A3F">
        <w:rPr>
          <w:rFonts w:ascii="Times New Roman" w:hAnsi="Times New Roman" w:cs="Times New Roman"/>
          <w:color w:val="0D0D0D" w:themeColor="text1" w:themeTint="F2"/>
          <w:sz w:val="26"/>
          <w:szCs w:val="26"/>
        </w:rPr>
        <w:lastRenderedPageBreak/>
        <w:t xml:space="preserve">large-scale cloud collaborative computing environment which host hundreds of machines and handles thousands of </w:t>
      </w:r>
      <w:proofErr w:type="gramStart"/>
      <w:r w:rsidRPr="004B3A3F">
        <w:rPr>
          <w:rFonts w:ascii="Times New Roman" w:hAnsi="Times New Roman" w:cs="Times New Roman"/>
          <w:color w:val="0D0D0D" w:themeColor="text1" w:themeTint="F2"/>
          <w:sz w:val="26"/>
          <w:szCs w:val="26"/>
        </w:rPr>
        <w:t>request</w:t>
      </w:r>
      <w:proofErr w:type="gramEnd"/>
      <w:r w:rsidRPr="004B3A3F">
        <w:rPr>
          <w:rFonts w:ascii="Times New Roman" w:hAnsi="Times New Roman" w:cs="Times New Roman"/>
          <w:color w:val="0D0D0D" w:themeColor="text1" w:themeTint="F2"/>
          <w:sz w:val="26"/>
          <w:szCs w:val="26"/>
        </w:rPr>
        <w:t xml:space="preserve"> per second, the delay induced by trust system can be one big problem. So, there is no doubt that the computational efficiency of a feedback aggregating mechanism is the most fundamental requirement. As depicted in Fig. 3, we build cloud social evaluation system using feedback technology among virtualized data centers and distributed cloud users, and we use a lightweight feedback mechanism, which can effectively reduce networking risk and improve system efficiency.</w:t>
      </w:r>
    </w:p>
    <w:p w:rsidR="004B3A3F" w:rsidRDefault="004B3A3F" w:rsidP="00AE70E0">
      <w:pPr>
        <w:ind w:left="360"/>
        <w:jc w:val="both"/>
        <w:rPr>
          <w:rFonts w:ascii="Times New Roman" w:hAnsi="Times New Roman" w:cs="Times New Roman"/>
          <w:color w:val="0D0D0D" w:themeColor="text1" w:themeTint="F2"/>
          <w:sz w:val="26"/>
          <w:szCs w:val="26"/>
        </w:rPr>
      </w:pPr>
    </w:p>
    <w:p w:rsidR="00D744A2" w:rsidRDefault="00D744A2" w:rsidP="00AE70E0">
      <w:pPr>
        <w:ind w:left="360"/>
        <w:jc w:val="both"/>
        <w:rPr>
          <w:rFonts w:ascii="Times New Roman" w:hAnsi="Times New Roman" w:cs="Times New Roman"/>
          <w:b/>
          <w:color w:val="0000CC"/>
          <w:sz w:val="26"/>
          <w:szCs w:val="26"/>
        </w:rPr>
      </w:pPr>
      <w:r w:rsidRPr="00D744A2">
        <w:rPr>
          <w:rFonts w:ascii="Times New Roman" w:hAnsi="Times New Roman" w:cs="Times New Roman"/>
          <w:b/>
          <w:color w:val="0000CC"/>
          <w:sz w:val="26"/>
          <w:szCs w:val="26"/>
        </w:rPr>
        <w:t>Conclusion:</w:t>
      </w:r>
    </w:p>
    <w:p w:rsidR="00EF3B8D" w:rsidRDefault="009934A9" w:rsidP="00AE70E0">
      <w:pPr>
        <w:ind w:left="360"/>
        <w:jc w:val="both"/>
        <w:rPr>
          <w:rFonts w:ascii="Times New Roman" w:hAnsi="Times New Roman" w:cs="Times New Roman"/>
          <w:color w:val="0D0D0D" w:themeColor="text1" w:themeTint="F2"/>
          <w:sz w:val="26"/>
          <w:szCs w:val="26"/>
        </w:rPr>
      </w:pPr>
      <w:r w:rsidRPr="009934A9">
        <w:rPr>
          <w:rFonts w:ascii="Times New Roman" w:hAnsi="Times New Roman" w:cs="Times New Roman"/>
          <w:color w:val="0D0D0D" w:themeColor="text1" w:themeTint="F2"/>
          <w:sz w:val="26"/>
          <w:szCs w:val="26"/>
        </w:rPr>
        <w:t>In this paper, we present T-broker, a trust-aware service brokering system for efficient matching multiple cloud services to satisfy various user requests. Experimental results show that T-broker yields very good results in many typical cases, and the proposed mechanism is robust to deal with various number of service resources. In the future, we will continue our research from two aspects. First is how to accurately calculate the trust value of resources with only few monitored evidences reports and how to motivate more users to submit their feedback to the trust measurement engine. Implementing and evaluating the proposed mechanism in a large-scale multiple cloud system, such as distributed data sharing and remote computing, is another important direction for future research.</w:t>
      </w:r>
    </w:p>
    <w:p w:rsidR="00914B06" w:rsidRPr="004E1F59" w:rsidRDefault="00914B06" w:rsidP="00AE70E0">
      <w:pPr>
        <w:ind w:left="360"/>
        <w:jc w:val="both"/>
        <w:rPr>
          <w:rFonts w:ascii="Times New Roman" w:hAnsi="Times New Roman" w:cs="Times New Roman"/>
          <w:color w:val="0D0D0D" w:themeColor="text1" w:themeTint="F2"/>
          <w:sz w:val="26"/>
          <w:szCs w:val="26"/>
        </w:rPr>
      </w:pPr>
    </w:p>
    <w:sectPr w:rsidR="00914B06" w:rsidRPr="004E1F59" w:rsidSect="00966F2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8603E"/>
    <w:multiLevelType w:val="hybridMultilevel"/>
    <w:tmpl w:val="EF5AF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41116A"/>
    <w:multiLevelType w:val="hybridMultilevel"/>
    <w:tmpl w:val="701E9E46"/>
    <w:lvl w:ilvl="0" w:tplc="53A2E01A">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D6F9A"/>
    <w:rsid w:val="00034DCB"/>
    <w:rsid w:val="000E2C5B"/>
    <w:rsid w:val="00182C06"/>
    <w:rsid w:val="001E1867"/>
    <w:rsid w:val="00262E8C"/>
    <w:rsid w:val="002B77CB"/>
    <w:rsid w:val="002D1ED1"/>
    <w:rsid w:val="002F16CC"/>
    <w:rsid w:val="00343357"/>
    <w:rsid w:val="00346A71"/>
    <w:rsid w:val="00372922"/>
    <w:rsid w:val="003944DF"/>
    <w:rsid w:val="00426E61"/>
    <w:rsid w:val="0044781F"/>
    <w:rsid w:val="00474689"/>
    <w:rsid w:val="004B3A3F"/>
    <w:rsid w:val="004B4407"/>
    <w:rsid w:val="004E1F59"/>
    <w:rsid w:val="004E22F4"/>
    <w:rsid w:val="004E38B9"/>
    <w:rsid w:val="00726368"/>
    <w:rsid w:val="007C2F51"/>
    <w:rsid w:val="008427FF"/>
    <w:rsid w:val="008E6786"/>
    <w:rsid w:val="008F1AB0"/>
    <w:rsid w:val="00914B06"/>
    <w:rsid w:val="00966F2C"/>
    <w:rsid w:val="0096754F"/>
    <w:rsid w:val="009934A9"/>
    <w:rsid w:val="00A661FA"/>
    <w:rsid w:val="00AD1E09"/>
    <w:rsid w:val="00AE70E0"/>
    <w:rsid w:val="00B1010A"/>
    <w:rsid w:val="00B4628A"/>
    <w:rsid w:val="00B82B80"/>
    <w:rsid w:val="00BC3B30"/>
    <w:rsid w:val="00BE78C1"/>
    <w:rsid w:val="00C51FC4"/>
    <w:rsid w:val="00C84865"/>
    <w:rsid w:val="00CE2905"/>
    <w:rsid w:val="00D45421"/>
    <w:rsid w:val="00D744A2"/>
    <w:rsid w:val="00D75B8D"/>
    <w:rsid w:val="00E1009A"/>
    <w:rsid w:val="00E314D8"/>
    <w:rsid w:val="00E96E19"/>
    <w:rsid w:val="00ED3926"/>
    <w:rsid w:val="00ED6F9A"/>
    <w:rsid w:val="00EE1B37"/>
    <w:rsid w:val="00EF3B8D"/>
    <w:rsid w:val="00F679C2"/>
    <w:rsid w:val="00FB25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F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1AB0"/>
    <w:pPr>
      <w:ind w:left="720"/>
      <w:contextualSpacing/>
    </w:pPr>
  </w:style>
  <w:style w:type="paragraph" w:styleId="BalloonText">
    <w:name w:val="Balloon Text"/>
    <w:basedOn w:val="Normal"/>
    <w:link w:val="BalloonTextChar"/>
    <w:uiPriority w:val="99"/>
    <w:semiHidden/>
    <w:unhideWhenUsed/>
    <w:rsid w:val="00BC3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B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708</TotalTime>
  <Pages>7</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158</cp:revision>
  <dcterms:created xsi:type="dcterms:W3CDTF">2015-07-09T11:30:00Z</dcterms:created>
  <dcterms:modified xsi:type="dcterms:W3CDTF">2015-08-06T06:07:00Z</dcterms:modified>
</cp:coreProperties>
</file>